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8D" w:rsidRPr="00F85452" w:rsidRDefault="0034148D" w:rsidP="00F85452">
      <w:pPr>
        <w:pStyle w:val="4"/>
        <w:spacing w:before="120" w:line="360" w:lineRule="auto"/>
        <w:jc w:val="both"/>
        <w:rPr>
          <w:rFonts w:ascii="Myriad Pro" w:hAnsi="Myriad Pro"/>
          <w:bCs/>
          <w:i w:val="0"/>
          <w:iCs/>
          <w:sz w:val="22"/>
          <w:szCs w:val="22"/>
        </w:rPr>
      </w:pPr>
      <w:r w:rsidRPr="00F85452">
        <w:rPr>
          <w:rFonts w:ascii="Myriad Pro" w:hAnsi="Myriad Pro"/>
          <w:bCs/>
          <w:i w:val="0"/>
          <w:iCs/>
          <w:sz w:val="22"/>
          <w:szCs w:val="22"/>
        </w:rPr>
        <w:t>Описание методики трансформации отчетности при подготовке первой финансовой отчетности в соответствии с МСФО.</w:t>
      </w:r>
    </w:p>
    <w:p w:rsidR="0034148D" w:rsidRPr="00F85452" w:rsidRDefault="0034148D" w:rsidP="00F85452">
      <w:pPr>
        <w:pStyle w:val="a3"/>
        <w:spacing w:line="360" w:lineRule="auto"/>
        <w:ind w:firstLine="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Трансформация (компиляция) первой финансовой отчетности по МСФО включает следующие основные этапы:</w:t>
      </w:r>
    </w:p>
    <w:p w:rsidR="0034148D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Определение отчетной даты и даты перехода на МСФО.</w:t>
      </w:r>
    </w:p>
    <w:p w:rsidR="0034148D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Выбор аудитора, если для пользователей финансовой отчетности по МСФО необходимо заключение независимого аудитора. </w:t>
      </w:r>
    </w:p>
    <w:p w:rsidR="00F85452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426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Подготовка вступительного отчета о финансовом положении на дату перехода по МСФО на основании анализа данных синтетического и аналитического учета по РСБУ за соответствующий период, а также договоров, первичных документов и иной финансовой и нефинансовой информации:</w:t>
      </w:r>
    </w:p>
    <w:p w:rsidR="00F85452" w:rsidRPr="00F85452" w:rsidRDefault="0034148D" w:rsidP="00F8545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прекращение признания активов и обязательств, которые были признаны по РСБУ и признание которых не разрешено МСФО;</w:t>
      </w:r>
    </w:p>
    <w:p w:rsidR="00F85452" w:rsidRPr="00F85452" w:rsidRDefault="0034148D" w:rsidP="00F8545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признание активов и обязательств, признание которых требуется МСФО и которые не были признаны по РСБУ;</w:t>
      </w:r>
    </w:p>
    <w:p w:rsidR="00F85452" w:rsidRPr="00F85452" w:rsidRDefault="0034148D" w:rsidP="00F8545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измерение активов и обязательств в соответствии с МСФО;</w:t>
      </w:r>
    </w:p>
    <w:p w:rsidR="00F85452" w:rsidRPr="00F85452" w:rsidRDefault="0034148D" w:rsidP="00F8545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классификация активов и обязательств в соответствии с МСФО;</w:t>
      </w:r>
    </w:p>
    <w:p w:rsidR="0034148D" w:rsidRPr="00F85452" w:rsidRDefault="0034148D" w:rsidP="00F85452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сбор числовой информации, необходимой для подготовки других форм отчетности (в том числе консолидации) и примечаний (в том числе по </w:t>
      </w:r>
      <w:r w:rsidRPr="00F85452">
        <w:rPr>
          <w:rFonts w:ascii="Myriad Pro" w:hAnsi="Myriad Pro" w:cs="Arial"/>
          <w:bCs/>
          <w:sz w:val="22"/>
          <w:szCs w:val="22"/>
          <w:lang w:val="en-US"/>
        </w:rPr>
        <w:t>IFRS</w:t>
      </w:r>
      <w:r w:rsidRPr="00F85452">
        <w:rPr>
          <w:rFonts w:ascii="Myriad Pro" w:hAnsi="Myriad Pro" w:cs="Arial"/>
          <w:bCs/>
          <w:sz w:val="22"/>
          <w:szCs w:val="22"/>
        </w:rPr>
        <w:t xml:space="preserve"> 1 “Первое применение МСФО”) в отношении проанализированных показателей.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На данном этапе руководству предприятия направляются запросы, необходимые для установления профессионального суждения в отношении оценочных значений за соответствующий период и элементов учетной политики, а также учитывается мнение аудитора в их отношении и решается вопрос о необходимости привлечения независимого оценщика и других экспертов.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В процессе анализа данных разрабатывается план счетов по МСФО и по результатам данного этапа формируется сальдовая ведомость по счетам МСФО, которая используется для формирования вступительного отчета о финансовом положении.</w:t>
      </w:r>
    </w:p>
    <w:p w:rsidR="00F85452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426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Подготовка сравнительной информации за предшествующий период на основании анализа данных синтетического и аналитического учета по РСБУ за соответствующий период, а также договоров, первичных документов и иной уместной финансовой и нефинансовой информации: </w:t>
      </w:r>
    </w:p>
    <w:p w:rsidR="00F85452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выполнение реверсивных и повторных поправок по балансовым счетам и счетам доходов и расходов для обеспечения корректности представления информации по отчетным периодам;</w:t>
      </w:r>
    </w:p>
    <w:p w:rsidR="00F85452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lastRenderedPageBreak/>
        <w:t>прекращение признания доходов, расходов, активов и обязательств, которые были признаны по РСБУ и признание которых не разрешено МСФО;</w:t>
      </w:r>
    </w:p>
    <w:p w:rsidR="00F85452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признание доходов, расходов, активов и обязательств, признание которых требуется МСФО и которые не были признаны по РСБУ;</w:t>
      </w:r>
    </w:p>
    <w:p w:rsidR="00F85452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измерение доходов, расходов, активов и обязательств в соответствии с МСФО;</w:t>
      </w:r>
    </w:p>
    <w:p w:rsidR="00F85452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классификация доходов, расходов, активов и обязательств в соответствии с МСФО;</w:t>
      </w:r>
    </w:p>
    <w:p w:rsidR="0034148D" w:rsidRPr="00F85452" w:rsidRDefault="0034148D" w:rsidP="00F85452">
      <w:pPr>
        <w:pStyle w:val="a3"/>
        <w:numPr>
          <w:ilvl w:val="0"/>
          <w:numId w:val="10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сбор числовой информации, необходимой для подготовки других форм отчетности (в том числе консолидации) и примечаний (в том числе по </w:t>
      </w:r>
      <w:r w:rsidRPr="00F85452">
        <w:rPr>
          <w:rFonts w:ascii="Myriad Pro" w:hAnsi="Myriad Pro" w:cs="Arial"/>
          <w:bCs/>
          <w:sz w:val="22"/>
          <w:szCs w:val="22"/>
          <w:lang w:val="en-US"/>
        </w:rPr>
        <w:t>IFRS</w:t>
      </w:r>
      <w:r w:rsidRPr="00F85452">
        <w:rPr>
          <w:rFonts w:ascii="Myriad Pro" w:hAnsi="Myriad Pro" w:cs="Arial"/>
          <w:bCs/>
          <w:sz w:val="22"/>
          <w:szCs w:val="22"/>
        </w:rPr>
        <w:t xml:space="preserve"> 1 “Первое применение МСФО”) в отношении проанализированных показателей.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На данном этапе руководству предприятия направляются запросы, необходимые для установления профессионального суждения в отношении оценочных значений </w:t>
      </w:r>
      <w:proofErr w:type="gramStart"/>
      <w:r w:rsidRPr="00F85452">
        <w:rPr>
          <w:rFonts w:ascii="Myriad Pro" w:hAnsi="Myriad Pro" w:cs="Arial"/>
          <w:bCs/>
          <w:sz w:val="22"/>
          <w:szCs w:val="22"/>
        </w:rPr>
        <w:t>за</w:t>
      </w:r>
      <w:proofErr w:type="gramEnd"/>
      <w:r w:rsidRPr="00F85452">
        <w:rPr>
          <w:rFonts w:ascii="Myriad Pro" w:hAnsi="Myriad Pro" w:cs="Arial"/>
          <w:bCs/>
          <w:sz w:val="22"/>
          <w:szCs w:val="22"/>
        </w:rPr>
        <w:t xml:space="preserve"> соответствующий период, а также учитывается мнение аудитора в их отношении.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На данном этапе дополняется план счетов по МСФО счетами доходов и расходов и по результатам данного этапа формируется сальдовая ведомость по счетам МСФО, которая используется для формирования отчета о финансовом положении и отчета о совокупном доходе за период сравнительной информации.</w:t>
      </w:r>
    </w:p>
    <w:p w:rsidR="00F85452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Подготовка информации за отчетный период на основании анализа данных синтетического и аналитического учета по РСБУ за соответствующий период, а также договоров, первичных документов и иной уместной финансовой и нефинансовой информации: </w:t>
      </w:r>
    </w:p>
    <w:p w:rsidR="00F85452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выполнение реверсивных и повторных поправок по балансовым счетам и счетам доходов и расходов для обеспечения корректности представления информации по отчетным периодам;</w:t>
      </w:r>
    </w:p>
    <w:p w:rsidR="00F85452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прекращение признания доходов, расходов, активов и обязательств, которые были признаны по РСБУ и признание которых не разрешено МСФО;</w:t>
      </w:r>
    </w:p>
    <w:p w:rsidR="00F85452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признание доходов, расходов, активов и обязательств, признание которых требуется МСФО и которые не были признаны по РСБУ;</w:t>
      </w:r>
    </w:p>
    <w:p w:rsidR="00F85452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измерение доходов, расходов, активов и обязательств в соответствии с МСФО;</w:t>
      </w:r>
    </w:p>
    <w:p w:rsidR="00F85452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классификация доходов, расходов, активов и обязательств в соответствии с МСФО;</w:t>
      </w:r>
    </w:p>
    <w:p w:rsidR="0034148D" w:rsidRPr="00F85452" w:rsidRDefault="0034148D" w:rsidP="00F85452">
      <w:pPr>
        <w:pStyle w:val="a3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сбор числовой информации, необходимой для подготовки других форм отчетности (в том числе консолидации) и примечаний (в том числе по </w:t>
      </w:r>
      <w:r w:rsidRPr="00F85452">
        <w:rPr>
          <w:rFonts w:ascii="Myriad Pro" w:hAnsi="Myriad Pro" w:cs="Arial"/>
          <w:bCs/>
          <w:sz w:val="22"/>
          <w:szCs w:val="22"/>
          <w:lang w:val="en-US"/>
        </w:rPr>
        <w:t>IFRS</w:t>
      </w:r>
      <w:r w:rsidRPr="00F85452">
        <w:rPr>
          <w:rFonts w:ascii="Myriad Pro" w:hAnsi="Myriad Pro" w:cs="Arial"/>
          <w:bCs/>
          <w:sz w:val="22"/>
          <w:szCs w:val="22"/>
        </w:rPr>
        <w:t xml:space="preserve"> 1 “Первое применение МСФО”) в отношении проанализированных показателей.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На данном этапе руководству предприятия направляются запросы, необходимые для установления профессионального суждения в отношении оценочных значений </w:t>
      </w:r>
      <w:proofErr w:type="gramStart"/>
      <w:r w:rsidRPr="00F85452">
        <w:rPr>
          <w:rFonts w:ascii="Myriad Pro" w:hAnsi="Myriad Pro" w:cs="Arial"/>
          <w:bCs/>
          <w:sz w:val="22"/>
          <w:szCs w:val="22"/>
        </w:rPr>
        <w:t>за</w:t>
      </w:r>
      <w:proofErr w:type="gramEnd"/>
      <w:r w:rsidRPr="00F85452">
        <w:rPr>
          <w:rFonts w:ascii="Myriad Pro" w:hAnsi="Myriad Pro" w:cs="Arial"/>
          <w:bCs/>
          <w:sz w:val="22"/>
          <w:szCs w:val="22"/>
        </w:rPr>
        <w:t xml:space="preserve"> соответствующий период, а также учитывается мнение аудитора в их отношении.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lastRenderedPageBreak/>
        <w:t>По результатам данного этапа формируется сальдовая ведомость по счетам МСФО за отчетный период, которая используется для формирования отчета о финансовом положении и отчета о совокупном доходе за отчетный период информации.</w:t>
      </w:r>
    </w:p>
    <w:p w:rsidR="00F85452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Дизайн форм финансовой отчетности и формирование показателей форм финансовой отчетности:</w:t>
      </w:r>
    </w:p>
    <w:p w:rsidR="00F85452" w:rsidRPr="00F85452" w:rsidRDefault="0034148D" w:rsidP="00F85452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отчета о финансовом положении и отчета о совокупном доходе на основании данных сальдовых ведомостей по счетам МСФО за соответствующий период;</w:t>
      </w:r>
    </w:p>
    <w:p w:rsidR="0034148D" w:rsidRPr="00F85452" w:rsidRDefault="0034148D" w:rsidP="00F85452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отчета об изменении собственного капитала и отчета о движении денежных средств косвенным методом на основании отчета о финансовом положении, отчета о совокупном доходе, данных сальдовых ведомостей по МСФО за соответствующий период и дополнительной числовой информации, сформированной на предыдущих этапах.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На данном этапе с руководством предприятия согласовывается содержание и представление форм финансовой отчетности, формируется предварительный вариант форм финансовой отчетности по МСФО, а также учитывается мнение аудитора в отношении их соответствия масштабам и характеру деятельности предприятия.</w:t>
      </w:r>
    </w:p>
    <w:p w:rsidR="00F85452" w:rsidRP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Дизайн и формирование показателей, включаемых в примечания к финансовой отчетности в отношении раскрытий, требуемых МСФО:</w:t>
      </w:r>
    </w:p>
    <w:p w:rsidR="00F85452" w:rsidRPr="00F85452" w:rsidRDefault="0034148D" w:rsidP="00F85452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примечания в части основных положений учетной политики формируются либо на основании суждений руководства, сформулированных в процессе выполнения предыдущих этапов, либо на основании отдельного положения об учетной политике, разработанного с учетом специфики и масштабов деятельности предприятия (в случае его наличия). </w:t>
      </w:r>
    </w:p>
    <w:p w:rsidR="00F85452" w:rsidRPr="00F85452" w:rsidRDefault="0034148D" w:rsidP="00F85452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примечания в части числовой информации формируются на основании данных сальдовых ведомостей плана счетов по МСФО и дополнительной числовой информации, сформированной на предыдущих этапах;</w:t>
      </w:r>
    </w:p>
    <w:p w:rsidR="00F85452" w:rsidRPr="00F85452" w:rsidRDefault="0034148D" w:rsidP="00F85452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примечания в части текстовой информации формируются на основании ответов руководства на запросы в отношении информации, требующей раскрытия в соответствии с МСФО;</w:t>
      </w:r>
    </w:p>
    <w:p w:rsidR="0034148D" w:rsidRPr="00F85452" w:rsidRDefault="0034148D" w:rsidP="00F85452">
      <w:pPr>
        <w:pStyle w:val="a3"/>
        <w:numPr>
          <w:ilvl w:val="0"/>
          <w:numId w:val="13"/>
        </w:numPr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 xml:space="preserve">прочая информация, уместная для включения в состав примечаний к финансовой </w:t>
      </w:r>
      <w:proofErr w:type="gramStart"/>
      <w:r w:rsidRPr="00F85452">
        <w:rPr>
          <w:rFonts w:ascii="Myriad Pro" w:hAnsi="Myriad Pro" w:cs="Arial"/>
          <w:bCs/>
          <w:sz w:val="22"/>
          <w:szCs w:val="22"/>
        </w:rPr>
        <w:t>отчетности</w:t>
      </w:r>
      <w:proofErr w:type="gramEnd"/>
      <w:r w:rsidRPr="00F85452">
        <w:rPr>
          <w:rFonts w:ascii="Myriad Pro" w:hAnsi="Myriad Pro" w:cs="Arial"/>
          <w:bCs/>
          <w:sz w:val="22"/>
          <w:szCs w:val="22"/>
        </w:rPr>
        <w:t xml:space="preserve"> по мнению руководства.</w:t>
      </w:r>
    </w:p>
    <w:p w:rsidR="0034148D" w:rsidRPr="00F85452" w:rsidRDefault="0034148D" w:rsidP="00F85452">
      <w:pPr>
        <w:pStyle w:val="a3"/>
        <w:spacing w:line="360" w:lineRule="auto"/>
        <w:ind w:firstLine="709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На данном этапе с руководством предприятия согласовывается содержание и представление примечаний к финансовой отчетности, по результатам этапа формируется  окончательный вариант финансовой отчетности по МСФО, включая примечания.</w:t>
      </w:r>
    </w:p>
    <w:p w:rsidR="00F85452" w:rsidRDefault="0034148D" w:rsidP="00F85452">
      <w:pPr>
        <w:pStyle w:val="a3"/>
        <w:numPr>
          <w:ilvl w:val="0"/>
          <w:numId w:val="5"/>
        </w:numPr>
        <w:tabs>
          <w:tab w:val="clear" w:pos="720"/>
          <w:tab w:val="clear" w:pos="4677"/>
          <w:tab w:val="clear" w:pos="9355"/>
        </w:tabs>
        <w:spacing w:line="360" w:lineRule="auto"/>
        <w:ind w:left="0" w:firstLine="360"/>
        <w:rPr>
          <w:rFonts w:ascii="Myriad Pro" w:hAnsi="Myriad Pro" w:cs="Arial"/>
          <w:bCs/>
          <w:sz w:val="22"/>
          <w:szCs w:val="22"/>
        </w:rPr>
      </w:pPr>
      <w:r w:rsidRPr="00F85452">
        <w:rPr>
          <w:rFonts w:ascii="Myriad Pro" w:hAnsi="Myriad Pro" w:cs="Arial"/>
          <w:bCs/>
          <w:sz w:val="22"/>
          <w:szCs w:val="22"/>
        </w:rPr>
        <w:t>Подготовка и выдача аудиторского отчета о компиляции финансовой отчетности</w:t>
      </w:r>
      <w:r w:rsidR="00F54A71" w:rsidRPr="00F85452">
        <w:rPr>
          <w:rFonts w:ascii="Myriad Pro" w:hAnsi="Myriad Pro" w:cs="Arial"/>
          <w:bCs/>
          <w:sz w:val="22"/>
          <w:szCs w:val="22"/>
        </w:rPr>
        <w:t>.</w:t>
      </w:r>
    </w:p>
    <w:p w:rsidR="00F85452" w:rsidRPr="00F85452" w:rsidRDefault="00F85452" w:rsidP="00F85452">
      <w:pPr>
        <w:pStyle w:val="a3"/>
        <w:tabs>
          <w:tab w:val="clear" w:pos="4677"/>
          <w:tab w:val="clear" w:pos="9355"/>
        </w:tabs>
        <w:spacing w:line="360" w:lineRule="auto"/>
        <w:rPr>
          <w:rFonts w:ascii="Myriad Pro" w:hAnsi="Myriad Pro" w:cs="Arial"/>
          <w:bCs/>
        </w:rPr>
      </w:pPr>
      <w:r w:rsidRPr="00F85452">
        <w:rPr>
          <w:rFonts w:ascii="Myriad Pro" w:hAnsi="Myriad Pro" w:cs="Arial"/>
          <w:b/>
          <w:bCs/>
        </w:rPr>
        <w:lastRenderedPageBreak/>
        <w:t>Различие в составлении финансовой отчетности по МСФО путем Трансформации российских данных и ведением Параллельного учета.</w:t>
      </w:r>
      <w:bookmarkStart w:id="0" w:name="_GoBack"/>
      <w:bookmarkEnd w:id="0"/>
    </w:p>
    <w:tbl>
      <w:tblPr>
        <w:tblpPr w:leftFromText="180" w:rightFromText="180" w:vertAnchor="text" w:horzAnchor="margin" w:tblpXSpec="center" w:tblpY="138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5334"/>
        <w:gridCol w:w="3969"/>
      </w:tblGrid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</w:pPr>
            <w:r w:rsidRPr="00F85452"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  <w:t>Критерии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</w:pPr>
            <w:r w:rsidRPr="00F85452"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  <w:t>Трансформация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</w:pPr>
            <w:r w:rsidRPr="00F85452">
              <w:rPr>
                <w:rStyle w:val="Spanred"/>
                <w:rFonts w:ascii="Myriad Pro" w:hAnsi="Myriad Pro" w:cs="Times New Roman"/>
                <w:b/>
                <w:caps w:val="0"/>
                <w:color w:val="auto"/>
                <w:sz w:val="20"/>
                <w:szCs w:val="20"/>
              </w:rPr>
              <w:t>Параллельный учет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Цель отчетности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 w:cs="Times New Roman"/>
                <w:caps w:val="0"/>
                <w:sz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</w:rPr>
              <w:t>Если нужно представить подписанный аудиторами отчет по МСФО в банк, материнской компании или акционеру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 w:cs="Times New Roman"/>
                <w:caps w:val="0"/>
                <w:sz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</w:rPr>
              <w:t>Управленческие решения на основе отчетности по МСФО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Периодичность составления отчетности 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Fonts w:ascii="Myriad Pro" w:hAnsi="Myriad Pro"/>
              </w:rPr>
            </w:pP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proofErr w:type="gramStart"/>
            <w:r w:rsidRPr="00F85452">
              <w:rPr>
                <w:rFonts w:ascii="Myriad Pro" w:hAnsi="Myriad Pro" w:cs="Times New Roman"/>
                <w:caps w:val="0"/>
                <w:sz w:val="20"/>
              </w:rPr>
              <w:t>Ориентирована</w:t>
            </w:r>
            <w:proofErr w:type="gramEnd"/>
            <w:r w:rsidRPr="00F85452">
              <w:rPr>
                <w:rFonts w:ascii="Myriad Pro" w:hAnsi="Myriad Pro" w:cs="Times New Roman"/>
                <w:caps w:val="0"/>
                <w:sz w:val="20"/>
              </w:rPr>
              <w:t xml:space="preserve"> на периодический выпуск (ежеквартальный, ежемесячный). При использовании этого метода компания сможет формировать отчетность только на отчетную дату.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</w:rPr>
              <w:t>Позволит выпускать отчетность по МСФО так оперативно, как потребуется, вплоть до нескольких раз в день.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Fonts w:ascii="Myriad Pro" w:hAnsi="Myriad Pro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Требуемая степень детализации отчетности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Цифра, которая получается в отчетности по МСФО путем трансформации, может не дать детальных сведений для целей управленческого анализа. 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Если требуется видеть всю историю возникновения цифры, быстро получить разбивку какой-либо статьи отчетности по элементам, категориям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Автоматизация систем учета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Построить систему трансформации можно на базе MS </w:t>
            </w:r>
            <w:proofErr w:type="spellStart"/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Excel</w:t>
            </w:r>
            <w:proofErr w:type="spellEnd"/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 даже в достаточно крупной группе компаний (если не крупный холдинг, не требуется ежемесячной трансформации)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требует внедрения сложной информационной системы, ее интеграции с существующей программой, используемой для российского учета. Кроме того, потребуется обучать специалистов навыкам работы в новой системе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Наличие специалистов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Подготовки отчетности в штате компании должен быть как минимум один профессионал.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Трансформацию отчетности компания может передать на аутсорсинг, а единственный штатный специалист будет курировать этот процесс.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Подготовки отчетности в штате компании должен быть как минимум один профессионал.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Fonts w:ascii="Myriad Pro" w:hAnsi="Myriad Pro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Система параллельного учета довольно трудоемка и на практике одного специалиста будет мало.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Профессионализм специалистов российской бухгалтерии</w:t>
            </w: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Нагрузка на отечественную бухгалтерию будет меньше, однако от профессионализма и скорости закрытия российской бухгалтерии будет зависеть качество и период составления отчетности по МСФО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Затрагивается работа российской бухгалтерии. При внедрении двойного учета специалистов российского бухучета придется переводить на новую программу, реализующую учет в обеих системах стандартов. Возможно, потребуется и дополнительное обучение работников, так как им придется вносить в систему данные с большим количеством аналитики, требуемой для МСФО-отчетности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Структура группы компаний 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numPr>
                <w:ilvl w:val="0"/>
                <w:numId w:val="7"/>
              </w:numPr>
              <w:spacing w:before="0" w:after="0" w:line="240" w:lineRule="auto"/>
              <w:ind w:left="196" w:hanging="283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При изменении структуры крайне трудоемким становится процесс внесения изменений.</w:t>
            </w:r>
          </w:p>
          <w:p w:rsidR="00F85452" w:rsidRPr="00F85452" w:rsidRDefault="00F85452" w:rsidP="00F85452">
            <w:pPr>
              <w:numPr>
                <w:ilvl w:val="0"/>
                <w:numId w:val="7"/>
              </w:numPr>
              <w:suppressAutoHyphens w:val="0"/>
              <w:ind w:left="196" w:hanging="283"/>
              <w:rPr>
                <w:rFonts w:ascii="Myriad Pro" w:eastAsia="Helvetica" w:hAnsi="Myriad Pro"/>
              </w:rPr>
            </w:pPr>
            <w:r w:rsidRPr="00F85452">
              <w:rPr>
                <w:rFonts w:ascii="Myriad Pro" w:eastAsia="Helvetica" w:hAnsi="Myriad Pro"/>
              </w:rPr>
              <w:t xml:space="preserve">Трудоемким становится процесс подготовки раскрытий к отчетности. Например, раскрытие по займам требует наличия единой базы данных с большим количеством аналитики, тщательной ее обработки в MS </w:t>
            </w:r>
            <w:proofErr w:type="spellStart"/>
            <w:r w:rsidRPr="00F85452">
              <w:rPr>
                <w:rFonts w:ascii="Myriad Pro" w:eastAsia="Helvetica" w:hAnsi="Myriad Pro"/>
              </w:rPr>
              <w:t>Excel</w:t>
            </w:r>
            <w:proofErr w:type="spellEnd"/>
          </w:p>
          <w:p w:rsidR="00F85452" w:rsidRPr="00F85452" w:rsidRDefault="00F85452" w:rsidP="00F85452">
            <w:pPr>
              <w:numPr>
                <w:ilvl w:val="0"/>
                <w:numId w:val="7"/>
              </w:numPr>
              <w:suppressAutoHyphens w:val="0"/>
              <w:ind w:left="196" w:hanging="283"/>
              <w:rPr>
                <w:rFonts w:ascii="Myriad Pro" w:eastAsia="Helvetica" w:hAnsi="Myriad Pro"/>
              </w:rPr>
            </w:pPr>
            <w:r w:rsidRPr="00F85452">
              <w:rPr>
                <w:rFonts w:ascii="Myriad Pro" w:eastAsia="Helvetica" w:hAnsi="Myriad Pro"/>
              </w:rPr>
              <w:t xml:space="preserve">Увеличивается время проверки аудиторами трансформационных и консолидационных таблиц в MS </w:t>
            </w:r>
            <w:proofErr w:type="spellStart"/>
            <w:r w:rsidRPr="00F85452">
              <w:rPr>
                <w:rFonts w:ascii="Myriad Pro" w:eastAsia="Helvetica" w:hAnsi="Myriad Pro"/>
              </w:rPr>
              <w:t>Excel</w:t>
            </w:r>
            <w:proofErr w:type="spellEnd"/>
          </w:p>
          <w:p w:rsidR="00F85452" w:rsidRPr="00F85452" w:rsidRDefault="00F85452" w:rsidP="00F85452">
            <w:pPr>
              <w:numPr>
                <w:ilvl w:val="0"/>
                <w:numId w:val="7"/>
              </w:numPr>
              <w:suppressAutoHyphens w:val="0"/>
              <w:ind w:left="196" w:hanging="283"/>
              <w:rPr>
                <w:rFonts w:ascii="Myriad Pro" w:hAnsi="Myriad Pro"/>
              </w:rPr>
            </w:pPr>
            <w:r w:rsidRPr="00F85452">
              <w:rPr>
                <w:rFonts w:ascii="Myriad Pro" w:eastAsia="Helvetica" w:hAnsi="Myriad Pro"/>
              </w:rPr>
              <w:t>Необходимо выстроить целую систему проверок всех таблиц и данных</w:t>
            </w:r>
          </w:p>
        </w:tc>
        <w:tc>
          <w:tcPr>
            <w:tcW w:w="3969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>Чем сложнее структура и больше группа компаний, тем больше появляется факторов за параллельный учет и автоматизацию</w:t>
            </w:r>
          </w:p>
        </w:tc>
      </w:tr>
      <w:tr w:rsidR="00F85452" w:rsidRPr="00F85452" w:rsidTr="00F85452">
        <w:tc>
          <w:tcPr>
            <w:tcW w:w="1720" w:type="dxa"/>
          </w:tcPr>
          <w:p w:rsidR="00F85452" w:rsidRPr="00F85452" w:rsidRDefault="00F85452" w:rsidP="00F85452">
            <w:pPr>
              <w:pStyle w:val="2"/>
              <w:spacing w:before="0" w:after="0" w:line="240" w:lineRule="atLeast"/>
              <w:ind w:left="-108"/>
              <w:jc w:val="both"/>
              <w:rPr>
                <w:rFonts w:ascii="Myriad Pro" w:hAnsi="Myriad Pro" w:cs="Times New Roman"/>
                <w:caps w:val="0"/>
                <w:sz w:val="20"/>
                <w:szCs w:val="20"/>
              </w:rPr>
            </w:pPr>
            <w:r w:rsidRPr="00F85452">
              <w:rPr>
                <w:rFonts w:ascii="Myriad Pro" w:hAnsi="Myriad Pro" w:cs="Times New Roman"/>
                <w:caps w:val="0"/>
                <w:sz w:val="20"/>
                <w:szCs w:val="20"/>
              </w:rPr>
              <w:t xml:space="preserve">Наличие свободных финансовых ресурсов 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ind w:left="-108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</w:p>
        </w:tc>
        <w:tc>
          <w:tcPr>
            <w:tcW w:w="5334" w:type="dxa"/>
          </w:tcPr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452" w:rsidRPr="00F85452" w:rsidRDefault="00F85452" w:rsidP="00F85452">
            <w:pPr>
              <w:rPr>
                <w:rFonts w:ascii="Myriad Pro" w:eastAsia="Helvetica" w:hAnsi="Myriad Pro"/>
              </w:rPr>
            </w:pPr>
            <w:r w:rsidRPr="00F85452">
              <w:rPr>
                <w:rFonts w:ascii="Myriad Pro" w:eastAsia="Helvetica" w:hAnsi="Myriad Pro"/>
              </w:rPr>
              <w:t xml:space="preserve">Более дорогостоящим методом является метод параллельного учета, так как компании придется потратиться </w:t>
            </w:r>
            <w:proofErr w:type="gramStart"/>
            <w:r w:rsidRPr="00F85452">
              <w:rPr>
                <w:rFonts w:ascii="Myriad Pro" w:eastAsia="Helvetica" w:hAnsi="Myriad Pro"/>
              </w:rPr>
              <w:t>на</w:t>
            </w:r>
            <w:proofErr w:type="gramEnd"/>
            <w:r w:rsidRPr="00F85452">
              <w:rPr>
                <w:rFonts w:ascii="Myriad Pro" w:eastAsia="Helvetica" w:hAnsi="Myriad Pro"/>
              </w:rPr>
              <w:t xml:space="preserve">: </w:t>
            </w:r>
          </w:p>
          <w:p w:rsidR="00F85452" w:rsidRPr="00F85452" w:rsidRDefault="00F85452" w:rsidP="00F85452">
            <w:pPr>
              <w:pStyle w:val="Ul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rFonts w:ascii="Myriad Pro" w:eastAsia="Helvetica" w:hAnsi="Myriad Pro"/>
                <w:sz w:val="20"/>
                <w:szCs w:val="20"/>
              </w:rPr>
            </w:pPr>
            <w:r w:rsidRPr="00F85452">
              <w:rPr>
                <w:rFonts w:ascii="Myriad Pro" w:eastAsia="Helvetica" w:hAnsi="Myriad Pro"/>
                <w:sz w:val="20"/>
                <w:szCs w:val="20"/>
              </w:rPr>
              <w:t xml:space="preserve">внедрение информационной (ERP) </w:t>
            </w:r>
            <w:r w:rsidRPr="00F85452">
              <w:rPr>
                <w:rFonts w:ascii="Myriad Pro" w:eastAsia="Helvetica" w:hAnsi="Myriad Pro"/>
                <w:sz w:val="20"/>
                <w:szCs w:val="20"/>
              </w:rPr>
              <w:lastRenderedPageBreak/>
              <w:t xml:space="preserve">системы; </w:t>
            </w:r>
          </w:p>
          <w:p w:rsidR="00F85452" w:rsidRPr="00F85452" w:rsidRDefault="00F85452" w:rsidP="00F85452">
            <w:pPr>
              <w:pStyle w:val="Ul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rFonts w:ascii="Myriad Pro" w:eastAsia="Helvetica" w:hAnsi="Myriad Pro"/>
                <w:sz w:val="20"/>
                <w:szCs w:val="20"/>
              </w:rPr>
            </w:pPr>
            <w:r w:rsidRPr="00F85452">
              <w:rPr>
                <w:rFonts w:ascii="Myriad Pro" w:eastAsia="Helvetica" w:hAnsi="Myriad Pro"/>
                <w:sz w:val="20"/>
                <w:szCs w:val="20"/>
              </w:rPr>
              <w:t xml:space="preserve">обучение российской бухгалтерии; </w:t>
            </w:r>
          </w:p>
          <w:p w:rsidR="00F85452" w:rsidRPr="00F85452" w:rsidRDefault="00F85452" w:rsidP="00F85452">
            <w:pPr>
              <w:pStyle w:val="Ul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rFonts w:ascii="Myriad Pro" w:eastAsia="Helvetica" w:hAnsi="Myriad Pro"/>
                <w:sz w:val="20"/>
                <w:szCs w:val="20"/>
              </w:rPr>
            </w:pPr>
            <w:r w:rsidRPr="00F85452">
              <w:rPr>
                <w:rFonts w:ascii="Myriad Pro" w:eastAsia="Helvetica" w:hAnsi="Myriad Pro"/>
                <w:sz w:val="20"/>
                <w:szCs w:val="20"/>
              </w:rPr>
              <w:t xml:space="preserve">оплату услуг консалтинговой компании, которая будет поддерживать фирму на этапе становления процесса; </w:t>
            </w:r>
          </w:p>
          <w:p w:rsidR="00F85452" w:rsidRPr="00F85452" w:rsidRDefault="00F85452" w:rsidP="00F85452">
            <w:pPr>
              <w:pStyle w:val="Ul"/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line="240" w:lineRule="auto"/>
              <w:ind w:left="176" w:hanging="142"/>
              <w:jc w:val="both"/>
              <w:rPr>
                <w:rFonts w:ascii="Myriad Pro" w:eastAsia="Helvetica" w:hAnsi="Myriad Pro"/>
                <w:sz w:val="20"/>
                <w:szCs w:val="20"/>
              </w:rPr>
            </w:pPr>
            <w:r w:rsidRPr="00F85452">
              <w:rPr>
                <w:rFonts w:ascii="Myriad Pro" w:eastAsia="Helvetica" w:hAnsi="Myriad Pro"/>
                <w:sz w:val="20"/>
                <w:szCs w:val="20"/>
              </w:rPr>
              <w:t xml:space="preserve">заработную плату штатных специалистов МСФО. </w:t>
            </w:r>
          </w:p>
          <w:p w:rsidR="00F85452" w:rsidRPr="00F85452" w:rsidRDefault="00F85452" w:rsidP="00F85452">
            <w:pPr>
              <w:pStyle w:val="2"/>
              <w:spacing w:before="0" w:after="0" w:line="240" w:lineRule="auto"/>
              <w:jc w:val="both"/>
              <w:rPr>
                <w:rStyle w:val="Spanred"/>
                <w:rFonts w:ascii="Myriad Pro" w:hAnsi="Myriad Pro" w:cs="Times New Roman"/>
                <w:caps w:val="0"/>
                <w:sz w:val="20"/>
                <w:szCs w:val="20"/>
              </w:rPr>
            </w:pPr>
          </w:p>
        </w:tc>
      </w:tr>
    </w:tbl>
    <w:p w:rsidR="00D5759A" w:rsidRPr="00F85452" w:rsidRDefault="00D5759A" w:rsidP="00F85452">
      <w:pPr>
        <w:pStyle w:val="a3"/>
        <w:spacing w:line="360" w:lineRule="auto"/>
        <w:ind w:firstLine="0"/>
        <w:rPr>
          <w:rFonts w:ascii="Myriad Pro" w:hAnsi="Myriad Pro" w:cs="Arial"/>
          <w:bCs/>
          <w:sz w:val="22"/>
          <w:szCs w:val="22"/>
        </w:rPr>
      </w:pPr>
    </w:p>
    <w:sectPr w:rsidR="00D5759A" w:rsidRPr="00F85452" w:rsidSect="00A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C800EF"/>
    <w:multiLevelType w:val="hybridMultilevel"/>
    <w:tmpl w:val="E27C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0212"/>
    <w:multiLevelType w:val="hybridMultilevel"/>
    <w:tmpl w:val="13064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A284F"/>
    <w:multiLevelType w:val="hybridMultilevel"/>
    <w:tmpl w:val="531E33FC"/>
    <w:lvl w:ilvl="0" w:tplc="D2C8BC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C05B9"/>
    <w:multiLevelType w:val="hybridMultilevel"/>
    <w:tmpl w:val="82A0D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27444"/>
    <w:multiLevelType w:val="hybridMultilevel"/>
    <w:tmpl w:val="503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382"/>
    <w:multiLevelType w:val="hybridMultilevel"/>
    <w:tmpl w:val="766C84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CBE25DC"/>
    <w:multiLevelType w:val="hybridMultilevel"/>
    <w:tmpl w:val="4EE4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45C2"/>
    <w:multiLevelType w:val="hybridMultilevel"/>
    <w:tmpl w:val="8EEC8D8A"/>
    <w:lvl w:ilvl="0" w:tplc="58F66A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71D84"/>
    <w:multiLevelType w:val="hybridMultilevel"/>
    <w:tmpl w:val="268AF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2B53A6"/>
    <w:multiLevelType w:val="hybridMultilevel"/>
    <w:tmpl w:val="428422B0"/>
    <w:lvl w:ilvl="0" w:tplc="1D0CD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F3867"/>
    <w:multiLevelType w:val="hybridMultilevel"/>
    <w:tmpl w:val="21AE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45284"/>
    <w:multiLevelType w:val="hybridMultilevel"/>
    <w:tmpl w:val="069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E4"/>
    <w:rsid w:val="000836FC"/>
    <w:rsid w:val="000C44AF"/>
    <w:rsid w:val="001949E0"/>
    <w:rsid w:val="002F780E"/>
    <w:rsid w:val="0034148D"/>
    <w:rsid w:val="00450516"/>
    <w:rsid w:val="004845E4"/>
    <w:rsid w:val="004A1086"/>
    <w:rsid w:val="0065511C"/>
    <w:rsid w:val="00814A91"/>
    <w:rsid w:val="008D1EAB"/>
    <w:rsid w:val="00983D04"/>
    <w:rsid w:val="00AC34EB"/>
    <w:rsid w:val="00B64E21"/>
    <w:rsid w:val="00BC396A"/>
    <w:rsid w:val="00D5759A"/>
    <w:rsid w:val="00E05C19"/>
    <w:rsid w:val="00F54A71"/>
    <w:rsid w:val="00F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4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54A71"/>
    <w:pPr>
      <w:keepNext/>
      <w:suppressAutoHyphens w:val="0"/>
      <w:spacing w:before="465" w:after="105" w:line="440" w:lineRule="atLeast"/>
      <w:ind w:firstLine="0"/>
      <w:jc w:val="left"/>
      <w:outlineLvl w:val="1"/>
    </w:pPr>
    <w:rPr>
      <w:rFonts w:ascii="Helvetica" w:eastAsia="Helvetica" w:hAnsi="Helvetica" w:cs="Helvetica"/>
      <w:caps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5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Заголовок4"/>
    <w:basedOn w:val="a"/>
    <w:next w:val="a"/>
    <w:rsid w:val="004845E4"/>
    <w:pPr>
      <w:keepNext/>
      <w:widowControl w:val="0"/>
      <w:ind w:firstLine="0"/>
      <w:jc w:val="left"/>
    </w:pPr>
    <w:rPr>
      <w:b/>
      <w:i/>
      <w:sz w:val="28"/>
    </w:rPr>
  </w:style>
  <w:style w:type="paragraph" w:customStyle="1" w:styleId="1">
    <w:name w:val="Знак Знак1 Знак Знак Знак Знак"/>
    <w:basedOn w:val="a"/>
    <w:rsid w:val="004845E4"/>
    <w:pPr>
      <w:suppressAutoHyphens w:val="0"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5759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нак Знак1 Знак Знак Знак Знак"/>
    <w:basedOn w:val="a"/>
    <w:rsid w:val="00D5759A"/>
    <w:pPr>
      <w:suppressAutoHyphens w:val="0"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F54A71"/>
    <w:rPr>
      <w:rFonts w:ascii="Helvetica" w:eastAsia="Helvetica" w:hAnsi="Helvetica" w:cs="Helvetica"/>
      <w:caps/>
      <w:sz w:val="41"/>
      <w:szCs w:val="41"/>
      <w:lang w:eastAsia="ru-RU"/>
    </w:rPr>
  </w:style>
  <w:style w:type="paragraph" w:customStyle="1" w:styleId="Ul">
    <w:name w:val="Ul"/>
    <w:basedOn w:val="a"/>
    <w:rsid w:val="00F54A71"/>
    <w:pPr>
      <w:suppressAutoHyphens w:val="0"/>
      <w:spacing w:line="280" w:lineRule="atLeast"/>
      <w:ind w:firstLine="0"/>
      <w:jc w:val="left"/>
    </w:pPr>
    <w:rPr>
      <w:sz w:val="22"/>
      <w:szCs w:val="22"/>
      <w:lang w:eastAsia="ru-RU"/>
    </w:rPr>
  </w:style>
  <w:style w:type="character" w:customStyle="1" w:styleId="Spanred">
    <w:name w:val="Span_red"/>
    <w:basedOn w:val="a0"/>
    <w:rsid w:val="00F54A71"/>
    <w:rPr>
      <w:color w:val="E508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4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54A71"/>
    <w:pPr>
      <w:keepNext/>
      <w:suppressAutoHyphens w:val="0"/>
      <w:spacing w:before="465" w:after="105" w:line="440" w:lineRule="atLeast"/>
      <w:ind w:firstLine="0"/>
      <w:jc w:val="left"/>
      <w:outlineLvl w:val="1"/>
    </w:pPr>
    <w:rPr>
      <w:rFonts w:ascii="Helvetica" w:eastAsia="Helvetica" w:hAnsi="Helvetica" w:cs="Helvetica"/>
      <w:caps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5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">
    <w:name w:val="Заголовок4"/>
    <w:basedOn w:val="a"/>
    <w:next w:val="a"/>
    <w:rsid w:val="004845E4"/>
    <w:pPr>
      <w:keepNext/>
      <w:widowControl w:val="0"/>
      <w:ind w:firstLine="0"/>
      <w:jc w:val="left"/>
    </w:pPr>
    <w:rPr>
      <w:b/>
      <w:i/>
      <w:sz w:val="28"/>
    </w:rPr>
  </w:style>
  <w:style w:type="paragraph" w:customStyle="1" w:styleId="1">
    <w:name w:val="Знак Знак1 Знак Знак Знак Знак"/>
    <w:basedOn w:val="a"/>
    <w:rsid w:val="004845E4"/>
    <w:pPr>
      <w:suppressAutoHyphens w:val="0"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5759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нак Знак1 Знак Знак Знак Знак"/>
    <w:basedOn w:val="a"/>
    <w:rsid w:val="00D5759A"/>
    <w:pPr>
      <w:suppressAutoHyphens w:val="0"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F54A71"/>
    <w:rPr>
      <w:rFonts w:ascii="Helvetica" w:eastAsia="Helvetica" w:hAnsi="Helvetica" w:cs="Helvetica"/>
      <w:caps/>
      <w:sz w:val="41"/>
      <w:szCs w:val="41"/>
      <w:lang w:eastAsia="ru-RU"/>
    </w:rPr>
  </w:style>
  <w:style w:type="paragraph" w:customStyle="1" w:styleId="Ul">
    <w:name w:val="Ul"/>
    <w:basedOn w:val="a"/>
    <w:rsid w:val="00F54A71"/>
    <w:pPr>
      <w:suppressAutoHyphens w:val="0"/>
      <w:spacing w:line="280" w:lineRule="atLeast"/>
      <w:ind w:firstLine="0"/>
      <w:jc w:val="left"/>
    </w:pPr>
    <w:rPr>
      <w:sz w:val="22"/>
      <w:szCs w:val="22"/>
      <w:lang w:eastAsia="ru-RU"/>
    </w:rPr>
  </w:style>
  <w:style w:type="character" w:customStyle="1" w:styleId="Spanred">
    <w:name w:val="Span_red"/>
    <w:basedOn w:val="a0"/>
    <w:rsid w:val="00F54A71"/>
    <w:rPr>
      <w:color w:val="E508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Аладинская Тамара</cp:lastModifiedBy>
  <cp:revision>2</cp:revision>
  <dcterms:created xsi:type="dcterms:W3CDTF">2015-04-30T11:08:00Z</dcterms:created>
  <dcterms:modified xsi:type="dcterms:W3CDTF">2015-04-30T11:08:00Z</dcterms:modified>
</cp:coreProperties>
</file>